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EAB6600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663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663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5FD4974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2E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9D62DAE" w14:textId="5F47F9E6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74ACC89" w14:textId="77777777" w:rsidR="009663ED" w:rsidRDefault="009663E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87ACE" w14:textId="4C84C027" w:rsidR="002178DD" w:rsidRPr="00DD2B05" w:rsidRDefault="002178DD" w:rsidP="002178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년도)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리포트 </w:t>
            </w:r>
            <w:r w:rsidR="009663ED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⑤ </w:t>
            </w:r>
            <w:r w:rsidR="009663ED"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2023 </w:t>
            </w:r>
            <w:r w:rsidR="009663ED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올해의 차</w:t>
            </w:r>
          </w:p>
          <w:p w14:paraId="5E348EBF" w14:textId="380D9FC2" w:rsidR="00DD2B05" w:rsidRPr="00A7503D" w:rsidRDefault="009663ED" w:rsidP="00BC7F9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A7503D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2"/>
                <w:szCs w:val="32"/>
              </w:rPr>
              <w:t xml:space="preserve">렉서스 ES, 소비자가 </w:t>
            </w:r>
            <w:r w:rsidR="00A7503D" w:rsidRPr="00A7503D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2"/>
                <w:szCs w:val="32"/>
              </w:rPr>
              <w:t xml:space="preserve">뽑은 </w:t>
            </w:r>
            <w:r w:rsidRPr="00A7503D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2"/>
                <w:szCs w:val="32"/>
              </w:rPr>
              <w:t xml:space="preserve">‘올해의 차’ 4년 연속 </w:t>
            </w:r>
            <w:r w:rsidR="00A7503D" w:rsidRPr="00A7503D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2"/>
                <w:szCs w:val="32"/>
              </w:rPr>
              <w:t>종합</w:t>
            </w:r>
            <w:r w:rsidRPr="00A7503D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2"/>
                <w:szCs w:val="32"/>
              </w:rPr>
              <w:t>1위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F462" w14:textId="7B6734C8" w:rsidR="00CF603A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새차</w:t>
            </w:r>
            <w:proofErr w:type="spellEnd"/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구입 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년내 실소비자의 체험만족도 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 분야 조사</w:t>
            </w:r>
          </w:p>
          <w:p w14:paraId="28C1BF31" w14:textId="63F13866" w:rsidR="004F656B" w:rsidRDefault="004F656B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ES,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상품성∙</w:t>
            </w:r>
            <w:r w:rsidR="00195E5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대비가치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C13F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최고수준 평가</w:t>
            </w:r>
            <w:r w:rsidR="009C2D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힘입어</w:t>
            </w:r>
            <w:r w:rsidR="007C13F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종합</w:t>
            </w:r>
            <w:r w:rsidR="007C13F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7C13F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5D6B674D" w14:textId="7A6FB077" w:rsidR="0084021C" w:rsidRDefault="00CF603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 </w:t>
            </w:r>
            <w:r w:rsidR="004F656B" w:rsidRP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‘그랜저IG HEV’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(</w:t>
            </w:r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세단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),</w:t>
            </w:r>
            <w:r w:rsidR="004F656B" w:rsidRP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‘</w:t>
            </w:r>
            <w:proofErr w:type="spellStart"/>
            <w:r w:rsidR="004F656B" w:rsidRP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트랙스</w:t>
            </w:r>
            <w:proofErr w:type="spellEnd"/>
            <w:r w:rsidR="004F656B" w:rsidRP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크로스오버’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(SUV)</w:t>
            </w:r>
            <w:r w:rsidR="001A1CE5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54ACE958" w14:textId="72D7C47C" w:rsidR="00C37D06" w:rsidRPr="00230459" w:rsidRDefault="007513B6" w:rsidP="00C034D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4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세단은 볼보 </w:t>
            </w:r>
            <w:r w:rsidR="004F6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‘S90’</w:t>
            </w:r>
            <w:r w:rsidR="00C034D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95E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SUV</w:t>
            </w:r>
            <w:r w:rsidR="00195E5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는 </w:t>
            </w:r>
            <w:proofErr w:type="spellStart"/>
            <w:r w:rsidR="00C034D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 w:rsidR="00C034D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034D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C034D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모델Y</w:t>
            </w:r>
            <w:r w:rsidR="00C034D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6D08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034D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선정돼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74EBCE35" w14:textId="77777777" w:rsidR="009663ED" w:rsidRDefault="009663E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4C091B" w14:textId="72AA467D" w:rsidR="003C6644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‘렉서스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ES’가 소비자의 실제 사용 경험을 토대로 평가한 컨슈머인사이트 ‘202</w:t>
      </w:r>
      <w:r w:rsidR="00C034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올해의 차’에 4년 연속 선정됐다. 부문별로 국산 세단은 현대차 ‘그랜저IG 하이브리드(HEV)’가, SUV는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트랙스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크로스오버’가 뽑혔다. 수입 세단은 볼보의 ‘S90’이, SUV는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테슬라의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‘모델Y’가 차지했다.</w:t>
      </w:r>
    </w:p>
    <w:p w14:paraId="1A05791D" w14:textId="172A92A7" w:rsidR="002178DD" w:rsidRDefault="002178DD" w:rsidP="009663E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제23차를 맞은 ‘연례 자동차 기획조사(매년 7월 10만명 대상)’에서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이내(22년 7월~23년 6월)인 소비자에게 △상품성(TGR) △초기품질(TGW-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i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) △비용대비가치(VFM)를 평가</w:t>
      </w:r>
      <w:r w:rsidR="00195E5E">
        <w:rPr>
          <w:rFonts w:ascii="맑은 고딕" w:eastAsia="맑은 고딕" w:hAnsi="맑은 고딕" w:cs="굴림" w:hint="eastAsia"/>
          <w:color w:val="000000"/>
          <w:kern w:val="0"/>
          <w:szCs w:val="20"/>
        </w:rPr>
        <w:t>하게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하고 이를 종합해 소비자 관점에서 본 ‘올해의 차’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를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선정했다.</w:t>
      </w:r>
    </w:p>
    <w:p w14:paraId="57AD958E" w14:textId="394F6019" w:rsid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E58FA29" w14:textId="55EA2639" w:rsidR="002178DD" w:rsidRP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195E5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렉서스 </w:t>
      </w:r>
      <w:r w:rsidR="00195E5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ES, </w:t>
      </w:r>
      <w:r w:rsidR="00195E5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상품성과 비용대비가치</w:t>
      </w:r>
      <w:r w:rsidR="009663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최고수준 평가</w:t>
      </w:r>
    </w:p>
    <w:p w14:paraId="6CFD99C0" w14:textId="07031B3E" w:rsidR="003F7771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034D2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'2023 올해의 차'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C034D2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선정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</w:t>
      </w:r>
      <w:r w:rsidR="00C034D2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ES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상품성</w:t>
      </w:r>
      <w:r w:rsidR="007C13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초기품질,</w:t>
      </w:r>
      <w:r w:rsidR="007C13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비용대비가치 </w:t>
      </w:r>
      <w:r w:rsidR="007C13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측면 종합평가에서 </w:t>
      </w:r>
      <w:r w:rsidR="00C034D2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'20년 이후 4년 연속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전체 </w:t>
      </w:r>
      <w:r w:rsidR="00C034D2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기록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C13F0" w:rsidRPr="00195E5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7C13F0" w:rsidRPr="00195E5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7C13F0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7C13F0" w:rsidRP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상품성,</w:t>
      </w:r>
      <w:r w:rsidR="007C13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비용대비가치에서는</w:t>
      </w:r>
      <w:r w:rsidR="007C13F0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국산·수입차를 통틀어 최고 수준의 평가를 받았다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C034D2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렉서스 브랜드는 </w:t>
      </w:r>
      <w:r w:rsidR="007C13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밖에</w:t>
      </w:r>
      <w:r w:rsidR="00C034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평균 3년된 차를 평가하는 내구품질(TGW-d)에서 1위를 차지해 고장·문제점이 가장 적은 차로 명성을 과시하고 있다(참고. </w:t>
      </w:r>
      <w:hyperlink r:id="rId9" w:history="1">
        <w:r w:rsidR="009663ED" w:rsidRPr="009663E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초기품질 토요타, 내구품질은 렉서스 ‘압도적 1위’</w:t>
        </w:r>
      </w:hyperlink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 렉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서스의 국내 판매 모델 중 ES 비중이 절반 이상임을 감안하면 </w:t>
      </w:r>
      <w:r w:rsid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E</w:t>
      </w:r>
      <w:r w:rsid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S</w:t>
      </w:r>
      <w:r w:rsidR="00195E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</w:t>
      </w:r>
      <w:r w:rsidR="00195E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전체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 대한 </w:t>
      </w:r>
      <w:r w:rsid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높은 평가를 주도하</w:t>
      </w:r>
      <w:r w:rsidR="00195E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84B4908" w14:textId="6DC3B33A" w:rsidR="004B33FB" w:rsidRPr="00E01A66" w:rsidRDefault="004B33FB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7BFA7DE" w14:textId="7C849E67" w:rsidR="00FA53A4" w:rsidRDefault="00195E5E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06BDC13E" wp14:editId="3A04D272">
            <wp:extent cx="6192520" cy="33997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컨슈머인사이트 선정 2023년 올해의 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AC1D" w14:textId="77777777" w:rsidR="00FA53A4" w:rsidRDefault="00FA53A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2AD25D" w14:textId="367F5164" w:rsidR="005548E8" w:rsidRPr="002178DD" w:rsidRDefault="005548E8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수입차를 각각 세단과 SUV로 나눠 선정한 부문별 1위 모델은 작년과 모두 달라졌다. 국산은 현대차 ‘그랜저IG HEV’(세단)와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트랙스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크로스오버’(SUV)가 각 부문 1위에 선정됐다. 두 모델 모두 </w:t>
      </w:r>
      <w:r w:rsidR="00195E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비용대비가치와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95E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상품성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에서 매우 우수한 평가를 받았다. 그랜저IG HEV는 작년말 출시된 7세대 모델이 가격을 크게 올린 데 따른 반사효과가,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트랙스는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동급 모델보다 낮게 책정한 가격 전략이 주효했다.</w:t>
      </w:r>
    </w:p>
    <w:p w14:paraId="2C37DBE0" w14:textId="6E84B12C" w:rsidR="009663ED" w:rsidRDefault="00F01FC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부문은 볼보 ‘S90’(세단)과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‘모델Y’(SUV)이 각각 1위를 차지했다. S90은 상품성과 초기품질에서, 모델Y는 가격대비가치에서 좋은 평가를 받았다. 두 브랜드의 모델이 올해의 차에 선정된 것은 이번이 처음이다.</w:t>
      </w:r>
    </w:p>
    <w:p w14:paraId="5F4ABD16" w14:textId="7DE3CEEA" w:rsidR="009663ED" w:rsidRDefault="004F656B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4F65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컨슈머인사이트가</w:t>
      </w:r>
      <w:proofErr w:type="spellEnd"/>
      <w:r w:rsidRPr="004F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선정하는 ‘올해의 차’는 자동차 전문가보다는 직접 차를 구입하고 사용해 온 실소비자의 생생한 평가를 반영해 체험·체감 품질이 가장 우수한 차를 선정한다는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 큰 의미가</w:t>
      </w:r>
      <w:r w:rsidRPr="004F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있다.</w:t>
      </w:r>
    </w:p>
    <w:p w14:paraId="5B2C4B9B" w14:textId="4D5D5BC4" w:rsidR="009663ED" w:rsidRDefault="009663ED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1963B9B" w14:textId="77777777" w:rsidR="009663ED" w:rsidRDefault="009663ED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0333A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644B7FC4" w:rsidR="0013537F" w:rsidRPr="00296651" w:rsidRDefault="00C252EA" w:rsidP="000333A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966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○ </w:t>
            </w:r>
            <w:bookmarkStart w:id="0" w:name="_Hlk115272098"/>
            <w:proofErr w:type="spellStart"/>
            <w:r w:rsidR="009663ED" w:rsidRPr="002966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컨슈머인사이트가</w:t>
            </w:r>
            <w:proofErr w:type="spellEnd"/>
            <w:r w:rsidR="009663ED" w:rsidRPr="0029665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선정하는 ‘올해의 차’는 자동차 전문가보다는 직접 차를 구입하고 사용해 온 실소비자의 생생한 평가를 반영해 체험·체감 품질이 가장 우수한 차를 선정한다는 특장점이 있다.</w:t>
            </w:r>
            <w:bookmarkEnd w:id="0"/>
            <w:r w:rsidR="009663ED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="0013537F"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350B095" w14:textId="77777777" w:rsidR="0013537F" w:rsidRPr="0013537F" w:rsidRDefault="0013537F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334904FA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9C030E8" w:rsidR="00461B32" w:rsidRDefault="00FA53A4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D2132D5" wp14:editId="53AE1A07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7D90E1E7" w:rsidR="004D6FB2" w:rsidRDefault="00296651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정동운 </w:t>
            </w:r>
            <w:r w:rsidR="004D6FB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33079EE9" w:rsidR="004D6FB2" w:rsidRDefault="00296651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j</w:t>
            </w:r>
            <w:r>
              <w:t>ungdw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0BA9E5B2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7E6CE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bookmarkStart w:id="1" w:name="_GoBack"/>
            <w:bookmarkEnd w:id="1"/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296651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E8EB4" w14:textId="77777777" w:rsidR="002A14ED" w:rsidRDefault="002A14ED" w:rsidP="009839BA">
      <w:pPr>
        <w:spacing w:after="0" w:line="240" w:lineRule="auto"/>
      </w:pPr>
      <w:r>
        <w:separator/>
      </w:r>
    </w:p>
  </w:endnote>
  <w:endnote w:type="continuationSeparator" w:id="0">
    <w:p w14:paraId="70765C03" w14:textId="77777777" w:rsidR="002A14ED" w:rsidRDefault="002A14E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773C" w14:textId="77777777" w:rsidR="002A14ED" w:rsidRDefault="002A14ED" w:rsidP="009839BA">
      <w:pPr>
        <w:spacing w:after="0" w:line="240" w:lineRule="auto"/>
      </w:pPr>
      <w:r>
        <w:separator/>
      </w:r>
    </w:p>
  </w:footnote>
  <w:footnote w:type="continuationSeparator" w:id="0">
    <w:p w14:paraId="322BC8D5" w14:textId="77777777" w:rsidR="002A14ED" w:rsidRDefault="002A14E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292DBA2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178D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663E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5925"/>
    <w:rsid w:val="0008026E"/>
    <w:rsid w:val="000812E6"/>
    <w:rsid w:val="00083DFA"/>
    <w:rsid w:val="00086CD3"/>
    <w:rsid w:val="000A0BB5"/>
    <w:rsid w:val="000A1AB1"/>
    <w:rsid w:val="000A2D3B"/>
    <w:rsid w:val="000A4694"/>
    <w:rsid w:val="000A4CFC"/>
    <w:rsid w:val="000A575E"/>
    <w:rsid w:val="000B0258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EC9"/>
    <w:rsid w:val="00103A2F"/>
    <w:rsid w:val="00103F91"/>
    <w:rsid w:val="00114E0C"/>
    <w:rsid w:val="00115976"/>
    <w:rsid w:val="00116997"/>
    <w:rsid w:val="00116AAF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64D4A"/>
    <w:rsid w:val="001721B2"/>
    <w:rsid w:val="00172473"/>
    <w:rsid w:val="00172E2D"/>
    <w:rsid w:val="00180CAB"/>
    <w:rsid w:val="00195E5E"/>
    <w:rsid w:val="001A0B0F"/>
    <w:rsid w:val="001A1CE5"/>
    <w:rsid w:val="001A30E7"/>
    <w:rsid w:val="001B3108"/>
    <w:rsid w:val="001B349B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167D7"/>
    <w:rsid w:val="0021779A"/>
    <w:rsid w:val="002178DD"/>
    <w:rsid w:val="00221DEE"/>
    <w:rsid w:val="0022270B"/>
    <w:rsid w:val="0022270D"/>
    <w:rsid w:val="00226516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14ED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988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81047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113DD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40DC"/>
    <w:rsid w:val="004347A3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A0D1E"/>
    <w:rsid w:val="004A1156"/>
    <w:rsid w:val="004A50A7"/>
    <w:rsid w:val="004B2DA6"/>
    <w:rsid w:val="004B33FB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656B"/>
    <w:rsid w:val="004F7A2F"/>
    <w:rsid w:val="00501AA2"/>
    <w:rsid w:val="00514052"/>
    <w:rsid w:val="005219EB"/>
    <w:rsid w:val="00522B7F"/>
    <w:rsid w:val="0052386B"/>
    <w:rsid w:val="005271AE"/>
    <w:rsid w:val="00535E36"/>
    <w:rsid w:val="00536BF2"/>
    <w:rsid w:val="00536EE7"/>
    <w:rsid w:val="00543E1E"/>
    <w:rsid w:val="005460B1"/>
    <w:rsid w:val="005460C4"/>
    <w:rsid w:val="00550F90"/>
    <w:rsid w:val="00552800"/>
    <w:rsid w:val="00553DC3"/>
    <w:rsid w:val="005548E8"/>
    <w:rsid w:val="00561744"/>
    <w:rsid w:val="00561A0C"/>
    <w:rsid w:val="005639B6"/>
    <w:rsid w:val="00567629"/>
    <w:rsid w:val="00570F84"/>
    <w:rsid w:val="00576E12"/>
    <w:rsid w:val="00580F3D"/>
    <w:rsid w:val="00583F6D"/>
    <w:rsid w:val="005855E1"/>
    <w:rsid w:val="005864A8"/>
    <w:rsid w:val="005868BC"/>
    <w:rsid w:val="00592FB4"/>
    <w:rsid w:val="0059518B"/>
    <w:rsid w:val="005A09B0"/>
    <w:rsid w:val="005A4E76"/>
    <w:rsid w:val="005A5648"/>
    <w:rsid w:val="005A777C"/>
    <w:rsid w:val="005B24BE"/>
    <w:rsid w:val="005B30D3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7B0B"/>
    <w:rsid w:val="006C401D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05BE7"/>
    <w:rsid w:val="007107D2"/>
    <w:rsid w:val="00717AC7"/>
    <w:rsid w:val="00720FC2"/>
    <w:rsid w:val="007223BD"/>
    <w:rsid w:val="00724366"/>
    <w:rsid w:val="007250B5"/>
    <w:rsid w:val="00725CBE"/>
    <w:rsid w:val="00733B3C"/>
    <w:rsid w:val="00737679"/>
    <w:rsid w:val="00737F8F"/>
    <w:rsid w:val="00741F69"/>
    <w:rsid w:val="00744838"/>
    <w:rsid w:val="007513B6"/>
    <w:rsid w:val="00752AF6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B7FCC"/>
    <w:rsid w:val="007C0B72"/>
    <w:rsid w:val="007C13F0"/>
    <w:rsid w:val="007C1813"/>
    <w:rsid w:val="007C2054"/>
    <w:rsid w:val="007C211B"/>
    <w:rsid w:val="007C57B0"/>
    <w:rsid w:val="007D1141"/>
    <w:rsid w:val="007D20BB"/>
    <w:rsid w:val="007D3DF1"/>
    <w:rsid w:val="007D459F"/>
    <w:rsid w:val="007D5EF1"/>
    <w:rsid w:val="007E5578"/>
    <w:rsid w:val="007E6CEE"/>
    <w:rsid w:val="007F00C3"/>
    <w:rsid w:val="007F1A95"/>
    <w:rsid w:val="007F5D03"/>
    <w:rsid w:val="007F70AF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021C"/>
    <w:rsid w:val="008419B3"/>
    <w:rsid w:val="00842730"/>
    <w:rsid w:val="00844255"/>
    <w:rsid w:val="008613A0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B1189"/>
    <w:rsid w:val="008B7D23"/>
    <w:rsid w:val="008C01D3"/>
    <w:rsid w:val="008C3E7D"/>
    <w:rsid w:val="008C5714"/>
    <w:rsid w:val="008D0D52"/>
    <w:rsid w:val="008D46E0"/>
    <w:rsid w:val="008D5839"/>
    <w:rsid w:val="008D7F63"/>
    <w:rsid w:val="008D7F94"/>
    <w:rsid w:val="008E0E21"/>
    <w:rsid w:val="008E2DE3"/>
    <w:rsid w:val="008F467E"/>
    <w:rsid w:val="008F579D"/>
    <w:rsid w:val="00900B69"/>
    <w:rsid w:val="00901420"/>
    <w:rsid w:val="00901B03"/>
    <w:rsid w:val="009035AD"/>
    <w:rsid w:val="00903939"/>
    <w:rsid w:val="00904F6A"/>
    <w:rsid w:val="00906FE2"/>
    <w:rsid w:val="00911341"/>
    <w:rsid w:val="00911BD2"/>
    <w:rsid w:val="00917C9A"/>
    <w:rsid w:val="00917FD3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2DBE"/>
    <w:rsid w:val="009C6B46"/>
    <w:rsid w:val="009D0B4E"/>
    <w:rsid w:val="009D3243"/>
    <w:rsid w:val="009D3D0E"/>
    <w:rsid w:val="009D6041"/>
    <w:rsid w:val="009E007F"/>
    <w:rsid w:val="009F19C0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5446"/>
    <w:rsid w:val="00A462E9"/>
    <w:rsid w:val="00A46B1B"/>
    <w:rsid w:val="00A51AE7"/>
    <w:rsid w:val="00A5552E"/>
    <w:rsid w:val="00A7150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E6984"/>
    <w:rsid w:val="00AE7801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561F"/>
    <w:rsid w:val="00B36E79"/>
    <w:rsid w:val="00B41877"/>
    <w:rsid w:val="00B4238A"/>
    <w:rsid w:val="00B447E0"/>
    <w:rsid w:val="00B502C9"/>
    <w:rsid w:val="00B51D62"/>
    <w:rsid w:val="00B621D0"/>
    <w:rsid w:val="00B62FEF"/>
    <w:rsid w:val="00B630CE"/>
    <w:rsid w:val="00B65B80"/>
    <w:rsid w:val="00B7192B"/>
    <w:rsid w:val="00B7291E"/>
    <w:rsid w:val="00B76C7B"/>
    <w:rsid w:val="00B77F3B"/>
    <w:rsid w:val="00B83B1F"/>
    <w:rsid w:val="00B8765C"/>
    <w:rsid w:val="00B87D32"/>
    <w:rsid w:val="00B90FD3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68F0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2DC6"/>
    <w:rsid w:val="00BE58AD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52EA"/>
    <w:rsid w:val="00C27792"/>
    <w:rsid w:val="00C33659"/>
    <w:rsid w:val="00C37D06"/>
    <w:rsid w:val="00C40C2D"/>
    <w:rsid w:val="00C4138E"/>
    <w:rsid w:val="00C433FF"/>
    <w:rsid w:val="00C45BFD"/>
    <w:rsid w:val="00C476A7"/>
    <w:rsid w:val="00C534EF"/>
    <w:rsid w:val="00C57D13"/>
    <w:rsid w:val="00C60FFC"/>
    <w:rsid w:val="00C72949"/>
    <w:rsid w:val="00C73FB2"/>
    <w:rsid w:val="00C76C1B"/>
    <w:rsid w:val="00C800EC"/>
    <w:rsid w:val="00C815AA"/>
    <w:rsid w:val="00C81942"/>
    <w:rsid w:val="00C83334"/>
    <w:rsid w:val="00C83A49"/>
    <w:rsid w:val="00C958A7"/>
    <w:rsid w:val="00C9722C"/>
    <w:rsid w:val="00CA65B2"/>
    <w:rsid w:val="00CA7E70"/>
    <w:rsid w:val="00CB0716"/>
    <w:rsid w:val="00CC1120"/>
    <w:rsid w:val="00CC1246"/>
    <w:rsid w:val="00CD2A28"/>
    <w:rsid w:val="00CD7389"/>
    <w:rsid w:val="00CE4239"/>
    <w:rsid w:val="00CE7612"/>
    <w:rsid w:val="00CF4675"/>
    <w:rsid w:val="00CF603A"/>
    <w:rsid w:val="00D00228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22652"/>
    <w:rsid w:val="00E258DE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4AA6"/>
    <w:rsid w:val="00E661E7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1642"/>
    <w:rsid w:val="00EE2081"/>
    <w:rsid w:val="00EE55A4"/>
    <w:rsid w:val="00EE78CC"/>
    <w:rsid w:val="00EE7D7D"/>
    <w:rsid w:val="00EF15BB"/>
    <w:rsid w:val="00EF36B3"/>
    <w:rsid w:val="00EF5C70"/>
    <w:rsid w:val="00F00896"/>
    <w:rsid w:val="00F01959"/>
    <w:rsid w:val="00F01FC0"/>
    <w:rsid w:val="00F03E97"/>
    <w:rsid w:val="00F04963"/>
    <w:rsid w:val="00F0560E"/>
    <w:rsid w:val="00F06AE2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5EE2"/>
    <w:rsid w:val="00FC4ADA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30&amp;id=pr4_list&amp;PageNo=1&amp;schFlag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D752-962F-4433-8C7D-83918AFD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3</cp:revision>
  <cp:lastPrinted>2023-10-18T01:44:00Z</cp:lastPrinted>
  <dcterms:created xsi:type="dcterms:W3CDTF">2023-10-23T00:53:00Z</dcterms:created>
  <dcterms:modified xsi:type="dcterms:W3CDTF">2023-10-23T06:01:00Z</dcterms:modified>
</cp:coreProperties>
</file>